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40"/>
          <w:lang w:eastAsia="zh-CN"/>
        </w:rPr>
      </w:pPr>
      <w:r>
        <w:rPr>
          <w:rFonts w:hint="eastAsia" w:ascii="方正小标宋简体" w:hAnsi="方正小标宋简体" w:eastAsia="方正小标宋简体" w:cs="方正小标宋简体"/>
          <w:sz w:val="44"/>
          <w:szCs w:val="52"/>
          <w:lang w:val="en-US" w:eastAsia="zh-CN"/>
        </w:rPr>
        <w:t>交通运输专业部</w:t>
      </w:r>
      <w:r>
        <w:rPr>
          <w:rFonts w:hint="eastAsia" w:ascii="方正小标宋简体" w:hAnsi="方正小标宋简体" w:eastAsia="方正小标宋简体" w:cs="方正小标宋简体"/>
          <w:sz w:val="44"/>
          <w:szCs w:val="52"/>
        </w:rPr>
        <w:t>教师发展</w:t>
      </w:r>
      <w:r>
        <w:rPr>
          <w:rFonts w:hint="eastAsia" w:ascii="方正小标宋简体" w:hAnsi="方正小标宋简体" w:eastAsia="方正小标宋简体" w:cs="方正小标宋简体"/>
          <w:sz w:val="44"/>
          <w:szCs w:val="52"/>
          <w:lang w:val="en-US" w:eastAsia="zh-CN"/>
        </w:rPr>
        <w:t>培养</w:t>
      </w:r>
      <w:r>
        <w:rPr>
          <w:rFonts w:hint="eastAsia" w:ascii="方正小标宋简体" w:hAnsi="方正小标宋简体" w:eastAsia="方正小标宋简体" w:cs="方正小标宋简体"/>
          <w:sz w:val="44"/>
          <w:szCs w:val="52"/>
        </w:rPr>
        <w:t>规划</w:t>
      </w:r>
      <w:r>
        <w:rPr>
          <w:rFonts w:hint="eastAsia" w:ascii="方正小标宋简体" w:hAnsi="方正小标宋简体" w:eastAsia="方正小标宋简体" w:cs="方正小标宋简体"/>
          <w:sz w:val="44"/>
          <w:szCs w:val="52"/>
        </w:rPr>
        <w:br w:type="textWrapping"/>
      </w:r>
      <w:r>
        <w:rPr>
          <w:rFonts w:hint="eastAsia" w:ascii="黑体" w:hAnsi="黑体" w:eastAsia="黑体" w:cs="黑体"/>
          <w:sz w:val="32"/>
          <w:szCs w:val="40"/>
          <w:lang w:eastAsia="zh-CN"/>
        </w:rPr>
        <w:t>（</w:t>
      </w:r>
      <w:r>
        <w:rPr>
          <w:rFonts w:hint="eastAsia" w:ascii="黑体" w:hAnsi="黑体" w:eastAsia="黑体" w:cs="黑体"/>
          <w:sz w:val="32"/>
          <w:szCs w:val="40"/>
          <w:lang w:val="en-US" w:eastAsia="zh-CN"/>
        </w:rPr>
        <w:t>2023年-2025年</w:t>
      </w:r>
      <w:r>
        <w:rPr>
          <w:rFonts w:hint="eastAsia" w:ascii="黑体" w:hAnsi="黑体" w:eastAsia="黑体" w:cs="黑体"/>
          <w:sz w:val="32"/>
          <w:szCs w:val="40"/>
          <w:lang w:eastAsia="zh-CN"/>
        </w:rPr>
        <w:t>）</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40"/>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40"/>
          <w:lang w:eastAsia="zh-CN"/>
        </w:rPr>
      </w:pPr>
      <w:r>
        <w:rPr>
          <w:rFonts w:hint="eastAsia" w:ascii="仿宋_GB2312" w:hAnsi="仿宋_GB2312" w:eastAsia="仿宋_GB2312" w:cs="仿宋_GB2312"/>
          <w:sz w:val="32"/>
          <w:szCs w:val="40"/>
          <w:lang w:eastAsia="zh-CN"/>
        </w:rPr>
        <w:t>为了适应</w:t>
      </w:r>
      <w:r>
        <w:rPr>
          <w:rFonts w:hint="eastAsia" w:ascii="仿宋_GB2312" w:hAnsi="仿宋_GB2312" w:eastAsia="仿宋_GB2312" w:cs="仿宋_GB2312"/>
          <w:sz w:val="32"/>
          <w:szCs w:val="40"/>
          <w:lang w:val="en-US" w:eastAsia="zh-CN"/>
        </w:rPr>
        <w:t>职业教育快速发展</w:t>
      </w:r>
      <w:r>
        <w:rPr>
          <w:rFonts w:hint="eastAsia" w:ascii="仿宋_GB2312" w:hAnsi="仿宋_GB2312" w:eastAsia="仿宋_GB2312" w:cs="仿宋_GB2312"/>
          <w:sz w:val="32"/>
          <w:szCs w:val="40"/>
          <w:lang w:eastAsia="zh-CN"/>
        </w:rPr>
        <w:t>的需要，努力建设具有</w:t>
      </w:r>
      <w:r>
        <w:rPr>
          <w:rFonts w:hint="eastAsia" w:ascii="仿宋_GB2312" w:hAnsi="仿宋_GB2312" w:eastAsia="仿宋_GB2312" w:cs="仿宋_GB2312"/>
          <w:sz w:val="32"/>
          <w:szCs w:val="40"/>
          <w:lang w:val="en-US" w:eastAsia="zh-CN"/>
        </w:rPr>
        <w:t>政治素养高、业务能力强的</w:t>
      </w:r>
      <w:r>
        <w:rPr>
          <w:rFonts w:hint="eastAsia" w:ascii="仿宋_GB2312" w:hAnsi="仿宋_GB2312" w:eastAsia="仿宋_GB2312" w:cs="仿宋_GB2312"/>
          <w:sz w:val="32"/>
          <w:szCs w:val="40"/>
          <w:lang w:eastAsia="zh-CN"/>
        </w:rPr>
        <w:t>教师队伍，使我</w:t>
      </w:r>
      <w:r>
        <w:rPr>
          <w:rFonts w:hint="eastAsia" w:ascii="仿宋_GB2312" w:hAnsi="仿宋_GB2312" w:eastAsia="仿宋_GB2312" w:cs="仿宋_GB2312"/>
          <w:sz w:val="32"/>
          <w:szCs w:val="40"/>
          <w:lang w:val="en-US" w:eastAsia="zh-CN"/>
        </w:rPr>
        <w:t>专业部对</w:t>
      </w:r>
      <w:r>
        <w:rPr>
          <w:rFonts w:hint="eastAsia" w:ascii="仿宋_GB2312" w:hAnsi="仿宋_GB2312" w:eastAsia="仿宋_GB2312" w:cs="仿宋_GB2312"/>
          <w:sz w:val="32"/>
          <w:szCs w:val="40"/>
          <w:lang w:eastAsia="zh-CN"/>
        </w:rPr>
        <w:t>教师</w:t>
      </w:r>
      <w:r>
        <w:rPr>
          <w:rFonts w:hint="eastAsia" w:ascii="仿宋_GB2312" w:hAnsi="仿宋_GB2312" w:eastAsia="仿宋_GB2312" w:cs="仿宋_GB2312"/>
          <w:sz w:val="32"/>
          <w:szCs w:val="40"/>
          <w:lang w:val="en-US" w:eastAsia="zh-CN"/>
        </w:rPr>
        <w:t>发展规划</w:t>
      </w:r>
      <w:r>
        <w:rPr>
          <w:rFonts w:hint="eastAsia" w:ascii="仿宋_GB2312" w:hAnsi="仿宋_GB2312" w:eastAsia="仿宋_GB2312" w:cs="仿宋_GB2312"/>
          <w:sz w:val="32"/>
          <w:szCs w:val="40"/>
          <w:lang w:eastAsia="zh-CN"/>
        </w:rPr>
        <w:t>工作进一步规范化、制度化，根据教育部《中小学教师继续教育规定》，结合我校实际，特制定本规划。</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0" w:firstLine="0" w:firstLineChars="0"/>
        <w:jc w:val="both"/>
        <w:textAlignment w:val="auto"/>
        <w:rPr>
          <w:rFonts w:hint="eastAsia" w:ascii="仿宋" w:hAnsi="仿宋" w:eastAsia="仿宋" w:cs="仿宋"/>
          <w:b/>
          <w:bCs/>
          <w:sz w:val="32"/>
          <w:szCs w:val="40"/>
          <w:lang w:val="en-US" w:eastAsia="zh-CN"/>
        </w:rPr>
      </w:pPr>
      <w:r>
        <w:rPr>
          <w:rFonts w:hint="eastAsia" w:ascii="仿宋" w:hAnsi="仿宋" w:eastAsia="仿宋" w:cs="仿宋"/>
          <w:b/>
          <w:bCs/>
          <w:sz w:val="32"/>
          <w:szCs w:val="40"/>
          <w:lang w:val="en-US" w:eastAsia="zh-CN"/>
        </w:rPr>
        <w:t>指导思想</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以习近平新时代中国特色社会主义思想为指导，以职业教育教学改革和教师专业发展的实际需求为导向，以解决职业教育和教师教学实践中存在的突出问题为突破口，以提高全校教师综合素质为核心，以培养具有实践精神与创新能力的教师队伍为重点，以课堂教学改革为契入点，努力营造互相学习、互相交流、共同发展的学习氛围，积极创建教师专业发展的平台，通过校本培训、高校进修、企业实践、自学研修等途径，培养一支素质全面、业务精湛、理论扎实、技能过硬、结构合理的新时代职业教育师资队伍，树立一批职业教育名师，促进学校的内涵发展和可持续发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0" w:firstLine="0" w:firstLineChars="0"/>
        <w:jc w:val="both"/>
        <w:textAlignment w:val="auto"/>
        <w:rPr>
          <w:rFonts w:hint="eastAsia" w:ascii="仿宋" w:hAnsi="仿宋" w:eastAsia="仿宋" w:cs="仿宋"/>
          <w:b/>
          <w:bCs/>
          <w:sz w:val="32"/>
          <w:szCs w:val="40"/>
          <w:lang w:val="en-US" w:eastAsia="zh-CN"/>
        </w:rPr>
      </w:pPr>
      <w:r>
        <w:rPr>
          <w:rFonts w:hint="eastAsia" w:ascii="仿宋" w:hAnsi="仿宋" w:eastAsia="仿宋" w:cs="仿宋"/>
          <w:b/>
          <w:bCs/>
          <w:sz w:val="32"/>
          <w:szCs w:val="40"/>
          <w:lang w:val="en-US" w:eastAsia="zh-CN"/>
        </w:rPr>
        <w:t>培养目标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通过培训、研修、企业实践等形式培养一批教学名师、专业带头人、骨干教师和业务精湛的教师队伍。通过三年的培养，以汽车运用与维修专业为试点打造校级名师、市级名师，培养合格专业带头人及脱离书本以实训器材为课本进行实景教学的专业教师。</w:t>
      </w:r>
    </w:p>
    <w:p>
      <w:pPr>
        <w:keepNext w:val="0"/>
        <w:keepLines w:val="0"/>
        <w:pageBreakBefore w:val="0"/>
        <w:widowControl w:val="0"/>
        <w:numPr>
          <w:numId w:val="0"/>
        </w:numPr>
        <w:kinsoku/>
        <w:wordWrap/>
        <w:overflowPunct/>
        <w:topLinePunct w:val="0"/>
        <w:autoSpaceDE/>
        <w:autoSpaceDN/>
        <w:bidi w:val="0"/>
        <w:adjustRightInd/>
        <w:snapToGrid/>
        <w:spacing w:line="560" w:lineRule="exact"/>
        <w:ind w:leftChars="100"/>
        <w:jc w:val="both"/>
        <w:textAlignment w:val="auto"/>
        <w:rPr>
          <w:rFonts w:hint="default" w:ascii="仿宋_GB2312" w:hAnsi="仿宋_GB2312" w:eastAsia="仿宋_GB2312" w:cs="仿宋_GB2312"/>
          <w:b/>
          <w:bCs/>
          <w:sz w:val="32"/>
          <w:szCs w:val="40"/>
          <w:lang w:val="en-US" w:eastAsia="zh-CN"/>
        </w:rPr>
      </w:pPr>
      <w:r>
        <w:rPr>
          <w:rFonts w:hint="eastAsia" w:ascii="仿宋_GB2312" w:hAnsi="仿宋_GB2312" w:eastAsia="仿宋_GB2312" w:cs="仿宋_GB2312"/>
          <w:b/>
          <w:bCs/>
          <w:sz w:val="32"/>
          <w:szCs w:val="40"/>
          <w:lang w:val="en-US" w:eastAsia="zh-CN"/>
        </w:rPr>
        <w:t>二、培训内容</w:t>
      </w:r>
    </w:p>
    <w:p>
      <w:pPr>
        <w:keepNext w:val="0"/>
        <w:keepLines w:val="0"/>
        <w:pageBreakBefore w:val="0"/>
        <w:widowControl w:val="0"/>
        <w:numPr>
          <w:numId w:val="0"/>
        </w:numPr>
        <w:kinsoku/>
        <w:wordWrap/>
        <w:overflowPunct/>
        <w:topLinePunct w:val="0"/>
        <w:autoSpaceDE/>
        <w:autoSpaceDN/>
        <w:bidi w:val="0"/>
        <w:adjustRightInd/>
        <w:snapToGrid/>
        <w:spacing w:line="560" w:lineRule="exact"/>
        <w:ind w:leftChars="100" w:firstLine="640" w:firstLineChars="200"/>
        <w:jc w:val="both"/>
        <w:textAlignment w:val="auto"/>
        <w:rPr>
          <w:rFonts w:hint="default"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汽车发动机，汽车底盘，汽车喷涂，汽车电器设备，汽车空调系统，钣金技术，汽车维护，汽车故障诊断，汽车营销及汽车美容与装潢，城市轨道及文化基础课等学科。</w:t>
      </w:r>
    </w:p>
    <w:p>
      <w:pPr>
        <w:keepNext w:val="0"/>
        <w:keepLines w:val="0"/>
        <w:pageBreakBefore w:val="0"/>
        <w:widowControl w:val="0"/>
        <w:numPr>
          <w:numId w:val="0"/>
        </w:numPr>
        <w:tabs>
          <w:tab w:val="left" w:pos="1104"/>
        </w:tabs>
        <w:kinsoku/>
        <w:wordWrap/>
        <w:overflowPunct/>
        <w:topLinePunct w:val="0"/>
        <w:autoSpaceDE/>
        <w:autoSpaceDN/>
        <w:bidi w:val="0"/>
        <w:adjustRightInd/>
        <w:snapToGrid/>
        <w:spacing w:line="560" w:lineRule="exact"/>
        <w:ind w:leftChars="100"/>
        <w:jc w:val="both"/>
        <w:textAlignment w:val="auto"/>
        <w:rPr>
          <w:rFonts w:hint="eastAsia" w:ascii="仿宋_GB2312" w:hAnsi="仿宋_GB2312" w:eastAsia="仿宋_GB2312" w:cs="仿宋_GB2312"/>
          <w:b/>
          <w:bCs/>
          <w:sz w:val="32"/>
          <w:szCs w:val="40"/>
          <w:lang w:val="en-US" w:eastAsia="zh-CN"/>
        </w:rPr>
      </w:pPr>
      <w:r>
        <w:rPr>
          <w:rFonts w:hint="eastAsia" w:ascii="仿宋_GB2312" w:hAnsi="仿宋_GB2312" w:eastAsia="仿宋_GB2312" w:cs="仿宋_GB2312"/>
          <w:b/>
          <w:bCs/>
          <w:sz w:val="32"/>
          <w:szCs w:val="40"/>
          <w:lang w:val="en-US" w:eastAsia="zh-CN"/>
        </w:rPr>
        <w:t>三、培养方法</w:t>
      </w:r>
    </w:p>
    <w:p>
      <w:pPr>
        <w:keepNext w:val="0"/>
        <w:keepLines w:val="0"/>
        <w:pageBreakBefore w:val="0"/>
        <w:widowControl w:val="0"/>
        <w:numPr>
          <w:numId w:val="0"/>
        </w:numPr>
        <w:tabs>
          <w:tab w:val="left" w:pos="1104"/>
        </w:tabs>
        <w:kinsoku/>
        <w:wordWrap/>
        <w:overflowPunct/>
        <w:topLinePunct w:val="0"/>
        <w:autoSpaceDE/>
        <w:autoSpaceDN/>
        <w:bidi w:val="0"/>
        <w:adjustRightInd/>
        <w:snapToGrid/>
        <w:spacing w:line="560" w:lineRule="exact"/>
        <w:ind w:leftChars="100"/>
        <w:jc w:val="both"/>
        <w:textAlignment w:val="auto"/>
        <w:rPr>
          <w:rFonts w:hint="default"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 xml:space="preserve">   通过外出培训、相互交流及到汽车4S店和汽车维修店进行实操学习等方式进行。</w:t>
      </w:r>
    </w:p>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ind w:leftChars="100"/>
        <w:jc w:val="both"/>
        <w:textAlignment w:val="auto"/>
        <w:rPr>
          <w:rFonts w:hint="eastAsia" w:ascii="仿宋_GB2312" w:hAnsi="仿宋_GB2312" w:eastAsia="仿宋_GB2312" w:cs="仿宋_GB2312"/>
          <w:b/>
          <w:bCs/>
          <w:sz w:val="32"/>
          <w:szCs w:val="40"/>
          <w:lang w:val="en-US" w:eastAsia="zh-CN"/>
        </w:rPr>
      </w:pPr>
      <w:r>
        <w:rPr>
          <w:rFonts w:hint="eastAsia" w:ascii="仿宋_GB2312" w:hAnsi="仿宋_GB2312" w:eastAsia="仿宋_GB2312" w:cs="仿宋_GB2312"/>
          <w:b/>
          <w:bCs/>
          <w:sz w:val="32"/>
          <w:szCs w:val="40"/>
          <w:lang w:val="en-US" w:eastAsia="zh-CN"/>
        </w:rPr>
        <w:t>四、培养对象</w:t>
      </w:r>
    </w:p>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ind w:leftChars="10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 xml:space="preserve">   本专业部的青年及有转行的青年教师和汽修、轨道专业教师。</w:t>
      </w:r>
    </w:p>
    <w:p>
      <w:pPr>
        <w:keepNext w:val="0"/>
        <w:keepLines w:val="0"/>
        <w:pageBreakBefore w:val="0"/>
        <w:widowControl w:val="0"/>
        <w:numPr>
          <w:ilvl w:val="0"/>
          <w:numId w:val="2"/>
        </w:numPr>
        <w:tabs>
          <w:tab w:val="left" w:pos="1074"/>
        </w:tabs>
        <w:kinsoku/>
        <w:wordWrap/>
        <w:overflowPunct/>
        <w:topLinePunct w:val="0"/>
        <w:autoSpaceDE/>
        <w:autoSpaceDN/>
        <w:bidi w:val="0"/>
        <w:adjustRightInd/>
        <w:snapToGrid/>
        <w:spacing w:line="560" w:lineRule="exact"/>
        <w:ind w:left="370" w:leftChars="0" w:firstLine="0" w:firstLineChars="0"/>
        <w:jc w:val="both"/>
        <w:textAlignment w:val="auto"/>
        <w:rPr>
          <w:rFonts w:hint="eastAsia" w:ascii="仿宋_GB2312" w:hAnsi="仿宋_GB2312" w:eastAsia="仿宋_GB2312" w:cs="仿宋_GB2312"/>
          <w:b/>
          <w:bCs/>
          <w:sz w:val="32"/>
          <w:szCs w:val="40"/>
          <w:lang w:val="en-US" w:eastAsia="zh-CN"/>
        </w:rPr>
      </w:pPr>
      <w:r>
        <w:rPr>
          <w:rFonts w:hint="eastAsia" w:ascii="仿宋_GB2312" w:hAnsi="仿宋_GB2312" w:eastAsia="仿宋_GB2312" w:cs="仿宋_GB2312"/>
          <w:b/>
          <w:bCs/>
          <w:sz w:val="32"/>
          <w:szCs w:val="40"/>
          <w:lang w:val="en-US" w:eastAsia="zh-CN"/>
        </w:rPr>
        <w:t>时间安排及培养目标</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717"/>
        <w:gridCol w:w="1125"/>
        <w:gridCol w:w="2040"/>
        <w:gridCol w:w="1294"/>
        <w:gridCol w:w="1241"/>
        <w:gridCol w:w="1575"/>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7"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序号</w:t>
            </w:r>
          </w:p>
        </w:tc>
        <w:tc>
          <w:tcPr>
            <w:tcW w:w="1125"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时间</w:t>
            </w:r>
          </w:p>
        </w:tc>
        <w:tc>
          <w:tcPr>
            <w:tcW w:w="2040"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专业</w:t>
            </w:r>
          </w:p>
        </w:tc>
        <w:tc>
          <w:tcPr>
            <w:tcW w:w="1294"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培训人员</w:t>
            </w:r>
          </w:p>
        </w:tc>
        <w:tc>
          <w:tcPr>
            <w:tcW w:w="1241"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培训地点</w:t>
            </w:r>
          </w:p>
        </w:tc>
        <w:tc>
          <w:tcPr>
            <w:tcW w:w="1575"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培养目标</w:t>
            </w:r>
          </w:p>
        </w:tc>
        <w:tc>
          <w:tcPr>
            <w:tcW w:w="1066"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7"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1</w:t>
            </w:r>
          </w:p>
        </w:tc>
        <w:tc>
          <w:tcPr>
            <w:tcW w:w="1125"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2024年1月</w:t>
            </w:r>
          </w:p>
        </w:tc>
        <w:tc>
          <w:tcPr>
            <w:tcW w:w="2040"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新能源运用与维修及汽车运用与维修</w:t>
            </w:r>
          </w:p>
        </w:tc>
        <w:tc>
          <w:tcPr>
            <w:tcW w:w="1294"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现任教专业的教师</w:t>
            </w:r>
          </w:p>
        </w:tc>
        <w:tc>
          <w:tcPr>
            <w:tcW w:w="1241"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汽车4S店或汽车维修店</w:t>
            </w:r>
          </w:p>
        </w:tc>
        <w:tc>
          <w:tcPr>
            <w:tcW w:w="1575"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 xml:space="preserve"> 提升自身专业水平，培训后能基本上脱离书本进行教学</w:t>
            </w:r>
          </w:p>
        </w:tc>
        <w:tc>
          <w:tcPr>
            <w:tcW w:w="1066"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7"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2</w:t>
            </w:r>
          </w:p>
        </w:tc>
        <w:tc>
          <w:tcPr>
            <w:tcW w:w="1125"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2024年7至8月</w:t>
            </w:r>
          </w:p>
        </w:tc>
        <w:tc>
          <w:tcPr>
            <w:tcW w:w="2040"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新能源运用与维修汽车运用与维修及城市轨道和文化基础课</w:t>
            </w:r>
          </w:p>
        </w:tc>
        <w:tc>
          <w:tcPr>
            <w:tcW w:w="1294"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现任教本专业的教师、转行的青年教师和青年文化课教师</w:t>
            </w:r>
          </w:p>
        </w:tc>
        <w:tc>
          <w:tcPr>
            <w:tcW w:w="1241"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汽车4S店或汽车维修店或交职院等相关单位学习</w:t>
            </w:r>
          </w:p>
        </w:tc>
        <w:tc>
          <w:tcPr>
            <w:tcW w:w="1575"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文化课教师业务能力有所提高，专业教师能够完全脱离书本以实训器材课本进行实景教学。</w:t>
            </w:r>
          </w:p>
        </w:tc>
        <w:tc>
          <w:tcPr>
            <w:tcW w:w="1066"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7"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3</w:t>
            </w:r>
          </w:p>
        </w:tc>
        <w:tc>
          <w:tcPr>
            <w:tcW w:w="1125"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2025年1月</w:t>
            </w:r>
          </w:p>
        </w:tc>
        <w:tc>
          <w:tcPr>
            <w:tcW w:w="2040"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新能源运用与维修及汽车运用与维修</w:t>
            </w:r>
          </w:p>
        </w:tc>
        <w:tc>
          <w:tcPr>
            <w:tcW w:w="1294"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现任教本专业的教师、转行的青年教师</w:t>
            </w:r>
          </w:p>
        </w:tc>
        <w:tc>
          <w:tcPr>
            <w:tcW w:w="1241"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汽车4S店或汽车维修店等相关企业</w:t>
            </w:r>
          </w:p>
        </w:tc>
        <w:tc>
          <w:tcPr>
            <w:tcW w:w="1575"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成为区级名师或达到区级名师水平</w:t>
            </w:r>
          </w:p>
        </w:tc>
        <w:tc>
          <w:tcPr>
            <w:tcW w:w="1066"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7"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4</w:t>
            </w:r>
          </w:p>
        </w:tc>
        <w:tc>
          <w:tcPr>
            <w:tcW w:w="1125"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2025年7至8月</w:t>
            </w:r>
          </w:p>
        </w:tc>
        <w:tc>
          <w:tcPr>
            <w:tcW w:w="2040"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新能源运用与维修汽车运用与维修及城市轨道和文化基础课</w:t>
            </w:r>
          </w:p>
        </w:tc>
        <w:tc>
          <w:tcPr>
            <w:tcW w:w="1294"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现任教本专业的教师、转行的青年教师和青年文化课教师</w:t>
            </w:r>
          </w:p>
        </w:tc>
        <w:tc>
          <w:tcPr>
            <w:tcW w:w="1241"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汽车4S店或汽车维修店或交职院等相关单位学习</w:t>
            </w:r>
          </w:p>
        </w:tc>
        <w:tc>
          <w:tcPr>
            <w:tcW w:w="1575"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r>
              <w:rPr>
                <w:rFonts w:hint="eastAsia" w:ascii="仿宋_GB2312" w:hAnsi="仿宋_GB2312" w:eastAsia="仿宋_GB2312" w:cs="仿宋_GB2312"/>
                <w:sz w:val="32"/>
                <w:szCs w:val="40"/>
                <w:vertAlign w:val="baseline"/>
                <w:lang w:val="en-US" w:eastAsia="zh-CN"/>
              </w:rPr>
              <w:t>文化课教师达到区级名师水平。专业教师成为 市级名师或具有市名师水平</w:t>
            </w:r>
          </w:p>
        </w:tc>
        <w:tc>
          <w:tcPr>
            <w:tcW w:w="1066" w:type="dxa"/>
          </w:tcPr>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40"/>
                <w:vertAlign w:val="baseline"/>
                <w:lang w:val="en-US" w:eastAsia="zh-CN"/>
              </w:rPr>
            </w:pPr>
          </w:p>
        </w:tc>
      </w:tr>
    </w:tbl>
    <w:p>
      <w:pPr>
        <w:keepNext w:val="0"/>
        <w:keepLines w:val="0"/>
        <w:pageBreakBefore w:val="0"/>
        <w:widowControl w:val="0"/>
        <w:numPr>
          <w:numId w:val="0"/>
        </w:numPr>
        <w:tabs>
          <w:tab w:val="left" w:pos="1074"/>
        </w:tabs>
        <w:kinsoku/>
        <w:wordWrap/>
        <w:overflowPunct/>
        <w:topLinePunct w:val="0"/>
        <w:autoSpaceDE/>
        <w:autoSpaceDN/>
        <w:bidi w:val="0"/>
        <w:adjustRightInd/>
        <w:snapToGrid/>
        <w:spacing w:line="560" w:lineRule="exact"/>
        <w:ind w:left="370" w:leftChars="0"/>
        <w:jc w:val="both"/>
        <w:textAlignment w:val="auto"/>
        <w:rPr>
          <w:rFonts w:hint="default" w:ascii="仿宋_GB2312" w:hAnsi="仿宋_GB2312" w:eastAsia="仿宋_GB2312" w:cs="仿宋_GB2312"/>
          <w:sz w:val="32"/>
          <w:szCs w:val="4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楷体" w:hAnsi="楷体" w:eastAsia="楷体" w:cs="楷体"/>
          <w:sz w:val="32"/>
          <w:szCs w:val="40"/>
          <w:lang w:val="en-US" w:eastAsia="zh-CN"/>
        </w:rPr>
      </w:pPr>
      <w:r>
        <w:rPr>
          <w:rFonts w:hint="eastAsia" w:ascii="楷体" w:hAnsi="楷体" w:eastAsia="楷体" w:cs="楷体"/>
          <w:sz w:val="32"/>
          <w:szCs w:val="40"/>
          <w:lang w:val="en-US" w:eastAsia="zh-CN"/>
        </w:rPr>
        <w:t xml:space="preserve">    </w:t>
      </w:r>
    </w:p>
    <w:p>
      <w:pPr>
        <w:keepNext w:val="0"/>
        <w:keepLines w:val="0"/>
        <w:pageBreakBefore w:val="0"/>
        <w:widowControl w:val="0"/>
        <w:numPr>
          <w:numId w:val="0"/>
        </w:numPr>
        <w:kinsoku/>
        <w:wordWrap/>
        <w:overflowPunct/>
        <w:topLinePunct w:val="0"/>
        <w:autoSpaceDE/>
        <w:autoSpaceDN/>
        <w:bidi w:val="0"/>
        <w:adjustRightInd/>
        <w:snapToGrid/>
        <w:spacing w:line="560" w:lineRule="exact"/>
        <w:ind w:left="630" w:leftChars="0"/>
        <w:jc w:val="both"/>
        <w:textAlignment w:val="auto"/>
        <w:rPr>
          <w:rFonts w:hint="eastAsia" w:ascii="仿宋" w:hAnsi="仿宋" w:eastAsia="仿宋" w:cs="仿宋"/>
          <w:b/>
          <w:bCs/>
          <w:sz w:val="32"/>
          <w:szCs w:val="40"/>
          <w:lang w:val="en-US" w:eastAsia="zh-CN"/>
        </w:rPr>
      </w:pPr>
      <w:r>
        <w:rPr>
          <w:rFonts w:hint="eastAsia" w:ascii="仿宋" w:hAnsi="仿宋" w:eastAsia="仿宋" w:cs="仿宋"/>
          <w:b/>
          <w:bCs/>
          <w:sz w:val="32"/>
          <w:szCs w:val="40"/>
          <w:lang w:val="en-US" w:eastAsia="zh-CN"/>
        </w:rPr>
        <w:t>六、工作措施</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960" w:leftChars="0" w:firstLine="0" w:firstLineChars="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构建教师发展平台</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根据规划积极开展教师下企业实践和外出培训等方式进行和利用学校教学平台资源开展教师自学互学等方式进行，同时在校内组织教师开展各种竞赛和开展学校教师“传、帮、带”活动，帮助转型教师和青年、专业教师发展。</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960" w:leftChars="0" w:firstLine="0" w:firstLineChars="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建立教师激励机制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将教师发展项目纳入教师个人绩效考核，鼓励教师提升个人能力和教学水平，促进学校内涵发展。</w:t>
      </w:r>
      <w:bookmarkStart w:id="0" w:name="_GoBack"/>
      <w:bookmarkEnd w:id="0"/>
    </w:p>
    <w:p>
      <w:pPr>
        <w:keepNext w:val="0"/>
        <w:keepLines w:val="0"/>
        <w:pageBreakBefore w:val="0"/>
        <w:widowControl w:val="0"/>
        <w:numPr>
          <w:numId w:val="0"/>
        </w:numPr>
        <w:kinsoku/>
        <w:wordWrap/>
        <w:overflowPunct/>
        <w:topLinePunct w:val="0"/>
        <w:autoSpaceDE/>
        <w:autoSpaceDN/>
        <w:bidi w:val="0"/>
        <w:adjustRightInd/>
        <w:snapToGrid/>
        <w:spacing w:line="560" w:lineRule="exact"/>
        <w:ind w:left="370" w:leftChars="0"/>
        <w:jc w:val="both"/>
        <w:textAlignment w:val="auto"/>
        <w:rPr>
          <w:rFonts w:hint="eastAsia" w:ascii="仿宋_GB2312" w:hAnsi="仿宋_GB2312" w:eastAsia="仿宋_GB2312" w:cs="仿宋_GB2312"/>
          <w:b/>
          <w:bCs/>
          <w:sz w:val="32"/>
          <w:szCs w:val="40"/>
          <w:lang w:val="en-US" w:eastAsia="zh-CN"/>
        </w:rPr>
      </w:pPr>
      <w:r>
        <w:rPr>
          <w:rFonts w:hint="eastAsia" w:ascii="仿宋_GB2312" w:hAnsi="仿宋_GB2312" w:eastAsia="仿宋_GB2312" w:cs="仿宋_GB2312"/>
          <w:b/>
          <w:bCs/>
          <w:sz w:val="32"/>
          <w:szCs w:val="40"/>
          <w:lang w:val="en-US" w:eastAsia="zh-CN"/>
        </w:rPr>
        <w:t>七、经费保障</w:t>
      </w:r>
    </w:p>
    <w:p>
      <w:pPr>
        <w:keepNext w:val="0"/>
        <w:keepLines w:val="0"/>
        <w:pageBreakBefore w:val="0"/>
        <w:widowControl w:val="0"/>
        <w:numPr>
          <w:numId w:val="0"/>
        </w:numPr>
        <w:kinsoku/>
        <w:wordWrap/>
        <w:overflowPunct/>
        <w:topLinePunct w:val="0"/>
        <w:autoSpaceDE/>
        <w:autoSpaceDN/>
        <w:bidi w:val="0"/>
        <w:adjustRightInd/>
        <w:snapToGrid/>
        <w:spacing w:line="560" w:lineRule="exact"/>
        <w:ind w:left="370" w:leftChars="0" w:firstLine="640" w:firstLineChars="200"/>
        <w:jc w:val="both"/>
        <w:textAlignment w:val="auto"/>
        <w:rPr>
          <w:rFonts w:hint="default"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为了更好更顺利提升教师的业务能力，学校将70%的培训经费用于本专业部教师培训。</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4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4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 xml:space="preserve">                                交通运输专业部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 xml:space="preserve">                               2023年10月25日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80" w:leftChars="0"/>
        <w:jc w:val="both"/>
        <w:textAlignment w:val="auto"/>
        <w:rPr>
          <w:rFonts w:hint="default" w:ascii="仿宋_GB2312" w:hAnsi="仿宋_GB2312" w:eastAsia="仿宋_GB2312" w:cs="仿宋_GB2312"/>
          <w:sz w:val="32"/>
          <w:szCs w:val="40"/>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Malgun Gothic"/>
    <w:panose1 w:val="020B0600000101010101"/>
    <w:charset w:val="81"/>
    <w:family w:val="modern"/>
    <w:pitch w:val="default"/>
    <w:sig w:usb0="00000000" w:usb1="00000000" w:usb2="00000010" w:usb3="00000000" w:csb0="0008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357D4A"/>
    <w:multiLevelType w:val="singleLevel"/>
    <w:tmpl w:val="88357D4A"/>
    <w:lvl w:ilvl="0" w:tentative="0">
      <w:start w:val="5"/>
      <w:numFmt w:val="chineseCounting"/>
      <w:suff w:val="nothing"/>
      <w:lvlText w:val="%1、"/>
      <w:lvlJc w:val="left"/>
      <w:pPr>
        <w:ind w:left="370" w:leftChars="0" w:firstLine="0" w:firstLineChars="0"/>
      </w:pPr>
      <w:rPr>
        <w:rFonts w:hint="eastAsia"/>
      </w:rPr>
    </w:lvl>
  </w:abstractNum>
  <w:abstractNum w:abstractNumId="1">
    <w:nsid w:val="2BF0F106"/>
    <w:multiLevelType w:val="singleLevel"/>
    <w:tmpl w:val="2BF0F106"/>
    <w:lvl w:ilvl="0" w:tentative="0">
      <w:start w:val="1"/>
      <w:numFmt w:val="decimal"/>
      <w:suff w:val="nothing"/>
      <w:lvlText w:val="%1、"/>
      <w:lvlJc w:val="left"/>
      <w:pPr>
        <w:ind w:left="960" w:leftChars="0" w:firstLine="0" w:firstLineChars="0"/>
      </w:pPr>
    </w:lvl>
  </w:abstractNum>
  <w:abstractNum w:abstractNumId="2">
    <w:nsid w:val="543910F5"/>
    <w:multiLevelType w:val="singleLevel"/>
    <w:tmpl w:val="543910F5"/>
    <w:lvl w:ilvl="0" w:tentative="0">
      <w:start w:val="1"/>
      <w:numFmt w:val="chineseCounting"/>
      <w:suff w:val="nothing"/>
      <w:lvlText w:val="%1、"/>
      <w:lvlJc w:val="left"/>
      <w:pPr>
        <w:ind w:left="630" w:leftChars="0" w:firstLine="0" w:firstLineChars="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4NTRmYTQ5YmRmMzFlNGUzMTk3NjBjMTI1OWMwYWQifQ=="/>
  </w:docVars>
  <w:rsids>
    <w:rsidRoot w:val="00000000"/>
    <w:rsid w:val="212F5A8B"/>
    <w:rsid w:val="244C482F"/>
    <w:rsid w:val="27785E0B"/>
    <w:rsid w:val="2A7E67F4"/>
    <w:rsid w:val="2DD85627"/>
    <w:rsid w:val="3AEA4858"/>
    <w:rsid w:val="434070FA"/>
    <w:rsid w:val="48730F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2021-11-07T02:06:00Z</dcterms:created>
  <dc:creator>LENOVO</dc:creator>
  <cp:lastModifiedBy>沉默是金</cp:lastModifiedBy>
  <dcterms:modified xsi:type="dcterms:W3CDTF">2023-10-25T03:32:49Z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58626B9980174F10938C97F5F61924FC</vt:lpwstr>
  </property>
</Properties>
</file>